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 с 27.04.2020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1970"/>
        <w:gridCol w:w="1616"/>
        <w:gridCol w:w="4617"/>
        <w:gridCol w:w="1424"/>
        <w:gridCol w:w="1194"/>
        <w:gridCol w:w="1146"/>
        <w:gridCol w:w="971"/>
      </w:tblGrid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3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24" w:type="dxa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3311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46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424" w:type="dxa"/>
            <w:vMerge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«Союзы. Правописание союзов»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46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424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438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440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454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Особенности употребления их в речи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336 (выполнить зад.1, 2 – письменно)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предупреждение и исправление ошибок в предложениях с обособленными обстоятельствами.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 вид ошибки и пример предложения.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 в жанре портретного очерка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17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41, упр. 356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>
            <w:hyperlink r:id="rId5" w:history="1">
              <w:r>
                <w:rPr>
                  <w:rStyle w:val="a4"/>
                </w:rPr>
                <w:t>https://onlinetestpad.com/ru/test/5234-test-po-teme-utochnyayushhie-chleny-predlozheniya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теме на карточке</w:t>
            </w:r>
          </w:p>
        </w:tc>
        <w:tc>
          <w:tcPr>
            <w:tcW w:w="1194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4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7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родному языку    с 27.04.2020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8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438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56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Беседа. Спор, виды споров. Правила поведения в споре. Корректные и некорректные приёмы ведения спора.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  <w:shd w:val="clear" w:color="auto" w:fill="FFFFFF"/>
              </w:rPr>
              <w:t>Приготовить три тезиса утверждения, три тезиса отрицания темы «В городе жить лучше, чем в деревне»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различия в значениях паронимов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530"/>
    <w:multiLevelType w:val="hybridMultilevel"/>
    <w:tmpl w:val="E1D2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5234-test-po-teme-utochnyayushhie-chleny-predlo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2020-04-05T10:18:00Z</dcterms:created>
  <dcterms:modified xsi:type="dcterms:W3CDTF">2020-05-03T01:46:00Z</dcterms:modified>
</cp:coreProperties>
</file>